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A3" w:rsidRPr="00D379A3" w:rsidRDefault="00D379A3" w:rsidP="00D379A3">
      <w:pPr>
        <w:spacing w:after="0" w:line="240" w:lineRule="auto"/>
        <w:jc w:val="center"/>
        <w:rPr>
          <w:rFonts w:eastAsia="Times New Roman" w:cs="Times New Roman"/>
          <w:sz w:val="18"/>
          <w:szCs w:val="18"/>
          <w:lang w:eastAsia="es-CO"/>
        </w:rPr>
      </w:pPr>
      <w:r w:rsidRPr="00D379A3">
        <w:rPr>
          <w:rFonts w:eastAsia="Times New Roman" w:cs="Times New Roman"/>
          <w:b/>
          <w:bCs/>
          <w:sz w:val="28"/>
          <w:szCs w:val="28"/>
          <w:lang w:eastAsia="es-CO"/>
        </w:rPr>
        <w:t>OFICIO Nº 005723</w:t>
      </w:r>
    </w:p>
    <w:p w:rsidR="00D379A3" w:rsidRPr="00D379A3" w:rsidRDefault="00D379A3" w:rsidP="00D379A3">
      <w:pPr>
        <w:spacing w:after="0" w:line="240" w:lineRule="auto"/>
        <w:jc w:val="center"/>
        <w:rPr>
          <w:rFonts w:eastAsia="Times New Roman" w:cs="Times New Roman"/>
          <w:sz w:val="18"/>
          <w:szCs w:val="18"/>
          <w:lang w:eastAsia="es-CO"/>
        </w:rPr>
      </w:pPr>
      <w:r w:rsidRPr="00D379A3">
        <w:rPr>
          <w:rFonts w:eastAsia="Times New Roman" w:cs="Times New Roman"/>
          <w:b/>
          <w:bCs/>
          <w:sz w:val="28"/>
          <w:szCs w:val="28"/>
          <w:lang w:eastAsia="es-CO"/>
        </w:rPr>
        <w:t>15-03-2016</w:t>
      </w:r>
    </w:p>
    <w:p w:rsidR="00D379A3" w:rsidRPr="00D379A3" w:rsidRDefault="00D379A3" w:rsidP="00D379A3">
      <w:pPr>
        <w:spacing w:after="0" w:line="240" w:lineRule="auto"/>
        <w:jc w:val="center"/>
        <w:rPr>
          <w:rFonts w:eastAsia="Times New Roman" w:cs="Times New Roman"/>
          <w:sz w:val="18"/>
          <w:szCs w:val="18"/>
          <w:lang w:eastAsia="es-CO"/>
        </w:rPr>
      </w:pPr>
      <w:r w:rsidRPr="00D379A3">
        <w:rPr>
          <w:rFonts w:eastAsia="Times New Roman" w:cs="Times New Roman"/>
          <w:b/>
          <w:bCs/>
          <w:sz w:val="28"/>
          <w:szCs w:val="28"/>
          <w:lang w:eastAsia="es-CO"/>
        </w:rPr>
        <w:t>DIAN</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22"/>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22"/>
          <w:lang w:eastAsia="es-CO"/>
        </w:rPr>
        <w:t> </w:t>
      </w:r>
    </w:p>
    <w:p w:rsidR="00D379A3" w:rsidRDefault="00D379A3" w:rsidP="00D379A3">
      <w:pPr>
        <w:spacing w:after="0" w:line="240" w:lineRule="auto"/>
        <w:jc w:val="both"/>
        <w:rPr>
          <w:rFonts w:eastAsia="Times New Roman" w:cs="Times New Roman"/>
          <w:sz w:val="22"/>
          <w:lang w:eastAsia="es-CO"/>
        </w:rPr>
      </w:pPr>
    </w:p>
    <w:p w:rsidR="00D379A3" w:rsidRDefault="00D379A3" w:rsidP="00D379A3">
      <w:pPr>
        <w:spacing w:after="0" w:line="240" w:lineRule="auto"/>
        <w:jc w:val="both"/>
        <w:rPr>
          <w:rFonts w:eastAsia="Times New Roman" w:cs="Times New Roman"/>
          <w:sz w:val="22"/>
          <w:lang w:eastAsia="es-CO"/>
        </w:rPr>
      </w:pPr>
    </w:p>
    <w:p w:rsidR="00D379A3" w:rsidRPr="00D379A3" w:rsidRDefault="00D379A3" w:rsidP="00D379A3">
      <w:pPr>
        <w:spacing w:after="0" w:line="240" w:lineRule="auto"/>
        <w:jc w:val="both"/>
        <w:rPr>
          <w:rFonts w:eastAsia="Times New Roman" w:cs="Times New Roman"/>
          <w:sz w:val="18"/>
          <w:szCs w:val="18"/>
          <w:lang w:eastAsia="es-CO"/>
        </w:rPr>
      </w:pPr>
      <w:bookmarkStart w:id="0" w:name="_GoBack"/>
      <w:bookmarkEnd w:id="0"/>
      <w:r w:rsidRPr="00D379A3">
        <w:rPr>
          <w:rFonts w:eastAsia="Times New Roman" w:cs="Times New Roman"/>
          <w:sz w:val="22"/>
          <w:lang w:eastAsia="es-CO"/>
        </w:rPr>
        <w:t>Subdirección de Gestión Normativa y Doctrina</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22"/>
          <w:lang w:eastAsia="es-CO"/>
        </w:rPr>
        <w:t>Bogotá, D.C.</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100208221- 000197</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Señor</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LUIS SARABIA</w:t>
      </w:r>
    </w:p>
    <w:p w:rsidR="00D379A3" w:rsidRPr="00D379A3" w:rsidRDefault="00D379A3" w:rsidP="00D379A3">
      <w:pPr>
        <w:spacing w:after="0" w:line="240" w:lineRule="auto"/>
        <w:jc w:val="both"/>
        <w:rPr>
          <w:rFonts w:eastAsia="Times New Roman" w:cs="Times New Roman"/>
          <w:sz w:val="18"/>
          <w:szCs w:val="18"/>
          <w:lang w:eastAsia="es-CO"/>
        </w:rPr>
      </w:pPr>
      <w:hyperlink r:id="rId4" w:history="1">
        <w:proofErr w:type="spellStart"/>
        <w:r w:rsidRPr="00D379A3">
          <w:rPr>
            <w:rFonts w:eastAsia="Times New Roman" w:cs="Times New Roman"/>
            <w:sz w:val="18"/>
            <w:szCs w:val="18"/>
            <w:lang w:eastAsia="es-CO"/>
          </w:rPr>
          <w:t>luissarabias@hotmail.com</w:t>
        </w:r>
        <w:proofErr w:type="spellEnd"/>
      </w:hyperlink>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Bogotá, D.C.</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proofErr w:type="spellStart"/>
      <w:r w:rsidRPr="00D379A3">
        <w:rPr>
          <w:rFonts w:eastAsia="Times New Roman" w:cs="Times New Roman"/>
          <w:b/>
          <w:bCs/>
          <w:sz w:val="18"/>
          <w:szCs w:val="18"/>
          <w:lang w:eastAsia="es-CO"/>
        </w:rPr>
        <w:t>Ref</w:t>
      </w:r>
      <w:proofErr w:type="spellEnd"/>
      <w:r w:rsidRPr="00D379A3">
        <w:rPr>
          <w:rFonts w:eastAsia="Times New Roman" w:cs="Times New Roman"/>
          <w:b/>
          <w:bCs/>
          <w:sz w:val="18"/>
          <w:szCs w:val="18"/>
          <w:lang w:eastAsia="es-CO"/>
        </w:rPr>
        <w:t>:</w:t>
      </w:r>
      <w:r w:rsidRPr="00D379A3">
        <w:rPr>
          <w:rFonts w:eastAsia="Times New Roman" w:cs="Times New Roman"/>
          <w:sz w:val="18"/>
          <w:szCs w:val="18"/>
          <w:lang w:eastAsia="es-CO"/>
        </w:rPr>
        <w:t> Radicado 000520 del 19/11/2015</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Tema </w:t>
      </w:r>
      <w:r w:rsidRPr="00D379A3">
        <w:rPr>
          <w:rFonts w:eastAsia="Times New Roman" w:cs="Times New Roman"/>
          <w:sz w:val="18"/>
          <w:szCs w:val="18"/>
          <w:lang w:eastAsia="es-CO"/>
        </w:rPr>
        <w:t>Impuesto sobre la Renta y Complementarios</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Descriptores </w:t>
      </w:r>
      <w:r w:rsidRPr="00D379A3">
        <w:rPr>
          <w:rFonts w:eastAsia="Times New Roman" w:cs="Times New Roman"/>
          <w:sz w:val="18"/>
          <w:szCs w:val="18"/>
          <w:lang w:eastAsia="es-CO"/>
        </w:rPr>
        <w:t>Dividendos</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Fuentes formales </w:t>
      </w:r>
      <w:r w:rsidRPr="00D379A3">
        <w:rPr>
          <w:rFonts w:eastAsia="Times New Roman" w:cs="Times New Roman"/>
          <w:sz w:val="18"/>
          <w:szCs w:val="18"/>
          <w:lang w:eastAsia="es-CO"/>
        </w:rPr>
        <w:t>Artículo 36 de la Ley 1739 de 2014, artículos </w:t>
      </w:r>
      <w:hyperlink r:id="rId5" w:tooltip="Estatuto Tributario CETA" w:history="1">
        <w:r w:rsidRPr="00D379A3">
          <w:rPr>
            <w:rFonts w:eastAsia="Times New Roman" w:cs="Times New Roman"/>
            <w:sz w:val="18"/>
            <w:szCs w:val="18"/>
            <w:lang w:eastAsia="es-CO"/>
          </w:rPr>
          <w:t>48</w:t>
        </w:r>
      </w:hyperlink>
      <w:r w:rsidRPr="00D379A3">
        <w:rPr>
          <w:rFonts w:eastAsia="Times New Roman" w:cs="Times New Roman"/>
          <w:sz w:val="18"/>
          <w:szCs w:val="18"/>
          <w:lang w:eastAsia="es-CO"/>
        </w:rPr>
        <w:t> y </w:t>
      </w:r>
      <w:hyperlink r:id="rId6" w:tooltip="Estatuto Tributario CETA" w:history="1">
        <w:r w:rsidRPr="00D379A3">
          <w:rPr>
            <w:rFonts w:eastAsia="Times New Roman" w:cs="Times New Roman"/>
            <w:sz w:val="18"/>
            <w:szCs w:val="18"/>
            <w:lang w:eastAsia="es-CO"/>
          </w:rPr>
          <w:t>49</w:t>
        </w:r>
      </w:hyperlink>
      <w:r w:rsidRPr="00D379A3">
        <w:rPr>
          <w:rFonts w:eastAsia="Times New Roman" w:cs="Times New Roman"/>
          <w:sz w:val="18"/>
          <w:szCs w:val="18"/>
          <w:lang w:eastAsia="es-CO"/>
        </w:rPr>
        <w:t> del Estatuto Tributario.</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Cordial saludo, Sr. Sarabia:</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De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Solicita Ud., que “de acuerdo al </w:t>
      </w:r>
      <w:hyperlink r:id="rId7" w:tooltip="Estatuto Tributario CETA" w:history="1">
        <w:r w:rsidRPr="00D379A3">
          <w:rPr>
            <w:rFonts w:eastAsia="Times New Roman" w:cs="Times New Roman"/>
            <w:sz w:val="18"/>
            <w:szCs w:val="18"/>
            <w:lang w:eastAsia="es-CO"/>
          </w:rPr>
          <w:t>artículo 139</w:t>
        </w:r>
      </w:hyperlink>
      <w:r w:rsidRPr="00D379A3">
        <w:rPr>
          <w:rFonts w:eastAsia="Times New Roman" w:cs="Times New Roman"/>
          <w:sz w:val="18"/>
          <w:szCs w:val="18"/>
          <w:lang w:eastAsia="es-CO"/>
        </w:rPr>
        <w:t> del Estatuto Tributario surge la siguiente pregunta, en referencia a lo que ocurre con el mayor valor que se genera por efectos de realizar una declaración de impuesto a la riqueza o normalización tributaria que registre pasivos inexistentes siendo que esos valores tienen como contrapartida un aumento contable en la (sic) utilidades acumuladas:</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¿Es posible distribuir dividendos no gravados sobre esos valores en exceso en la utilidad por declaración de pasivos inexistentes?</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Sobre el particular, se hace necesario precisar que el </w:t>
      </w:r>
      <w:hyperlink r:id="rId8" w:tooltip="Estatuto Tributario CETA" w:history="1">
        <w:r w:rsidRPr="00D379A3">
          <w:rPr>
            <w:rFonts w:eastAsia="Times New Roman" w:cs="Times New Roman"/>
            <w:sz w:val="18"/>
            <w:szCs w:val="18"/>
            <w:lang w:eastAsia="es-CO"/>
          </w:rPr>
          <w:t>artículo 139</w:t>
        </w:r>
      </w:hyperlink>
      <w:r w:rsidRPr="00D379A3">
        <w:rPr>
          <w:rFonts w:eastAsia="Times New Roman" w:cs="Times New Roman"/>
          <w:sz w:val="18"/>
          <w:szCs w:val="18"/>
          <w:lang w:eastAsia="es-CO"/>
        </w:rPr>
        <w:t xml:space="preserve"> del Estatuto Tributario al que hace referencia en su consulta, se refiere es a la depreciación de bienes usados. En el entendido de que se trata es del hecho generador del impuesto complementario de normalización tributaria y sus efectos, de conformidad a lo que </w:t>
      </w:r>
      <w:proofErr w:type="spellStart"/>
      <w:r w:rsidRPr="00D379A3">
        <w:rPr>
          <w:rFonts w:eastAsia="Times New Roman" w:cs="Times New Roman"/>
          <w:sz w:val="18"/>
          <w:szCs w:val="18"/>
          <w:lang w:eastAsia="es-CO"/>
        </w:rPr>
        <w:t>establen</w:t>
      </w:r>
      <w:proofErr w:type="spellEnd"/>
      <w:r w:rsidRPr="00D379A3">
        <w:rPr>
          <w:rFonts w:eastAsia="Times New Roman" w:cs="Times New Roman"/>
          <w:sz w:val="18"/>
          <w:szCs w:val="18"/>
          <w:lang w:eastAsia="es-CO"/>
        </w:rPr>
        <w:t xml:space="preserve"> (sic) los artículos 36 y 39 de la Ley 1739, es menester precisar:</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El artículo 36 de la norma en mención, precisa:</w:t>
      </w:r>
    </w:p>
    <w:p w:rsidR="00D379A3" w:rsidRPr="00D379A3" w:rsidRDefault="00D379A3" w:rsidP="00D379A3">
      <w:pPr>
        <w:spacing w:after="0" w:line="240" w:lineRule="auto"/>
        <w:ind w:left="284"/>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ind w:left="284"/>
        <w:jc w:val="both"/>
        <w:rPr>
          <w:rFonts w:eastAsia="Times New Roman" w:cs="Times New Roman"/>
          <w:sz w:val="18"/>
          <w:szCs w:val="18"/>
          <w:lang w:eastAsia="es-CO"/>
        </w:rPr>
      </w:pPr>
      <w:r w:rsidRPr="00D379A3">
        <w:rPr>
          <w:rFonts w:eastAsia="Times New Roman" w:cs="Times New Roman"/>
          <w:b/>
          <w:bCs/>
          <w:i/>
          <w:iCs/>
          <w:sz w:val="18"/>
          <w:szCs w:val="18"/>
          <w:lang w:eastAsia="es-CO"/>
        </w:rPr>
        <w:t>“ARTÍCULO 36. HECHO GENERADOR.</w:t>
      </w:r>
      <w:r w:rsidRPr="00D379A3">
        <w:rPr>
          <w:rFonts w:eastAsia="Times New Roman" w:cs="Times New Roman"/>
          <w:i/>
          <w:iCs/>
          <w:sz w:val="18"/>
          <w:szCs w:val="18"/>
          <w:lang w:eastAsia="es-CO"/>
        </w:rPr>
        <w:t> El impuesto complementario de normalización tributaria se causa por la posesión de activos omitidos y </w:t>
      </w:r>
      <w:r w:rsidRPr="00D379A3">
        <w:rPr>
          <w:rFonts w:eastAsia="Times New Roman" w:cs="Times New Roman"/>
          <w:i/>
          <w:iCs/>
          <w:sz w:val="18"/>
          <w:szCs w:val="18"/>
          <w:u w:val="single"/>
          <w:lang w:eastAsia="es-CO"/>
        </w:rPr>
        <w:t>pasivos inexistentes a 1o de enero de 2015, 2016 y, 2017, respectivamente</w:t>
      </w:r>
      <w:r w:rsidRPr="00D379A3">
        <w:rPr>
          <w:rFonts w:eastAsia="Times New Roman" w:cs="Times New Roman"/>
          <w:i/>
          <w:iCs/>
          <w:sz w:val="18"/>
          <w:szCs w:val="18"/>
          <w:lang w:eastAsia="es-CO"/>
        </w:rPr>
        <w:t>. </w:t>
      </w:r>
      <w:r w:rsidRPr="00D379A3">
        <w:rPr>
          <w:rFonts w:eastAsia="Times New Roman" w:cs="Times New Roman"/>
          <w:b/>
          <w:bCs/>
          <w:i/>
          <w:iCs/>
          <w:sz w:val="18"/>
          <w:szCs w:val="18"/>
          <w:lang w:eastAsia="es-CO"/>
        </w:rPr>
        <w:t>PARÁGRAFO 1o. </w:t>
      </w:r>
      <w:r w:rsidRPr="00D379A3">
        <w:rPr>
          <w:rFonts w:eastAsia="Times New Roman" w:cs="Times New Roman"/>
          <w:i/>
          <w:iCs/>
          <w:sz w:val="18"/>
          <w:szCs w:val="18"/>
          <w:lang w:eastAsia="es-CO"/>
        </w:rPr>
        <w:t>Para efectos de lo dispuesto en este artículo, se entiende por activos omitidos aquellos que no fueron incluidos en las declaraciones de impuestos nacionales existiendo la obligación legal de hacerlo. </w:t>
      </w:r>
      <w:r w:rsidRPr="00D379A3">
        <w:rPr>
          <w:rFonts w:eastAsia="Times New Roman" w:cs="Times New Roman"/>
          <w:i/>
          <w:iCs/>
          <w:sz w:val="18"/>
          <w:szCs w:val="18"/>
          <w:u w:val="single"/>
          <w:lang w:eastAsia="es-CO"/>
        </w:rPr>
        <w:t>Se entiende por pasivo inexistente, el declarado en las declaraciones de impuestos nacionales con el único fin de aminorar o disminuir la carga tributaria a cargo del contribuyente</w:t>
      </w:r>
      <w:r w:rsidRPr="00D379A3">
        <w:rPr>
          <w:rFonts w:eastAsia="Times New Roman" w:cs="Times New Roman"/>
          <w:i/>
          <w:iCs/>
          <w:sz w:val="18"/>
          <w:szCs w:val="18"/>
          <w:lang w:eastAsia="es-CO"/>
        </w:rPr>
        <w:t>”.</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i/>
          <w:iCs/>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Siendo así, se tiene que el Impuesto complementario de Normalización tributaria, tiene como fin normalizar la situación tributaria de los contribuyentes que accedan al mismo.</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b/>
          <w:sz w:val="18"/>
          <w:szCs w:val="18"/>
          <w:lang w:eastAsia="es-CO"/>
        </w:rPr>
      </w:pPr>
      <w:r w:rsidRPr="00D379A3">
        <w:rPr>
          <w:rFonts w:eastAsia="Times New Roman" w:cs="Times New Roman"/>
          <w:sz w:val="18"/>
          <w:szCs w:val="18"/>
          <w:lang w:eastAsia="es-CO"/>
        </w:rPr>
        <w:t xml:space="preserve">En relación con la exclusión de pasivos inexistentes que se habían registrado en las declaraciones tributarias, el contribuyente deberá registrar el aumento en su activo o ingreso según se trate, a partir del año en que hizo uso del Impuesto complementario de Normalización tributaria, así como lo establece el artículo 39 de la Ley 1739 de 2014, </w:t>
      </w:r>
      <w:r w:rsidRPr="00D379A3">
        <w:rPr>
          <w:rFonts w:eastAsia="Times New Roman" w:cs="Times New Roman"/>
          <w:b/>
          <w:sz w:val="18"/>
          <w:szCs w:val="18"/>
          <w:lang w:eastAsia="es-CO"/>
        </w:rPr>
        <w:t>y por tal motivo no tendrá que corregir ni ajustar las declaraciones de años inmediatamente anteriores.</w:t>
      </w:r>
    </w:p>
    <w:p w:rsidR="00D379A3" w:rsidRPr="00D379A3" w:rsidRDefault="00D379A3" w:rsidP="00D379A3">
      <w:pPr>
        <w:spacing w:after="0" w:line="240" w:lineRule="auto"/>
        <w:jc w:val="both"/>
        <w:rPr>
          <w:rFonts w:eastAsia="Times New Roman" w:cs="Times New Roman"/>
          <w:b/>
          <w:sz w:val="18"/>
          <w:szCs w:val="18"/>
          <w:lang w:eastAsia="es-CO"/>
        </w:rPr>
      </w:pPr>
      <w:r w:rsidRPr="00D379A3">
        <w:rPr>
          <w:rFonts w:eastAsia="Times New Roman" w:cs="Times New Roman"/>
          <w:b/>
          <w:bCs/>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Para efectos contables, esta Subdirección estima conveniente dar traslado de su consulta al Consejo Técnico de la Contaduría para que en el marco de sus competencias se pronuncie sobre el particular.</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Ahora bien, habiéndose dado la normalización tributaria relacionada con la exclusión de pasivos inexistentes de que trata la Ley 1739 de 2014 y pudiendo darse una mayor utilidad en los años subsiguientes o posteriores al que se acogió mediante la liquidación y el pago del impuesto complementario de normalización, tendrá como consecuencia para efectos de los dividendos y/o participaciones que se llegaren a obtener en los períodos posteriores el aplicar a los artículos </w:t>
      </w:r>
      <w:hyperlink r:id="rId9" w:tooltip="Estatuto Tributario CETA" w:history="1">
        <w:r w:rsidRPr="00D379A3">
          <w:rPr>
            <w:rFonts w:eastAsia="Times New Roman" w:cs="Times New Roman"/>
            <w:sz w:val="18"/>
            <w:szCs w:val="18"/>
            <w:lang w:eastAsia="es-CO"/>
          </w:rPr>
          <w:t>48</w:t>
        </w:r>
      </w:hyperlink>
      <w:r w:rsidRPr="00D379A3">
        <w:rPr>
          <w:rFonts w:eastAsia="Times New Roman" w:cs="Times New Roman"/>
          <w:sz w:val="18"/>
          <w:szCs w:val="18"/>
          <w:lang w:eastAsia="es-CO"/>
        </w:rPr>
        <w:t> y </w:t>
      </w:r>
      <w:hyperlink r:id="rId10" w:tooltip="Estatuto Tributario CETA" w:history="1">
        <w:r w:rsidRPr="00D379A3">
          <w:rPr>
            <w:rFonts w:eastAsia="Times New Roman" w:cs="Times New Roman"/>
            <w:sz w:val="18"/>
            <w:szCs w:val="18"/>
            <w:lang w:eastAsia="es-CO"/>
          </w:rPr>
          <w:t>49</w:t>
        </w:r>
      </w:hyperlink>
      <w:r w:rsidRPr="00D379A3">
        <w:rPr>
          <w:rFonts w:eastAsia="Times New Roman" w:cs="Times New Roman"/>
          <w:sz w:val="18"/>
          <w:szCs w:val="18"/>
          <w:lang w:eastAsia="es-CO"/>
        </w:rPr>
        <w:t> del Estatuto Tributario.</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Atentamente,</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lastRenderedPageBreak/>
        <w:t> </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b/>
          <w:bCs/>
          <w:sz w:val="18"/>
          <w:szCs w:val="18"/>
          <w:lang w:eastAsia="es-CO"/>
        </w:rPr>
        <w:t>PEDRO PABLO CONTRERAS CAMARGO</w:t>
      </w:r>
    </w:p>
    <w:p w:rsidR="00D379A3" w:rsidRPr="00D379A3" w:rsidRDefault="00D379A3" w:rsidP="00D379A3">
      <w:pPr>
        <w:spacing w:after="0" w:line="240" w:lineRule="auto"/>
        <w:jc w:val="both"/>
        <w:rPr>
          <w:rFonts w:eastAsia="Times New Roman" w:cs="Times New Roman"/>
          <w:sz w:val="18"/>
          <w:szCs w:val="18"/>
          <w:lang w:eastAsia="es-CO"/>
        </w:rPr>
      </w:pPr>
      <w:r w:rsidRPr="00D379A3">
        <w:rPr>
          <w:rFonts w:eastAsia="Times New Roman" w:cs="Times New Roman"/>
          <w:sz w:val="18"/>
          <w:szCs w:val="18"/>
          <w:lang w:eastAsia="es-CO"/>
        </w:rPr>
        <w:t>Subdirector de Gestión Normativa y Doctrina (E)</w:t>
      </w:r>
    </w:p>
    <w:p w:rsidR="00D379A3" w:rsidRPr="00D379A3" w:rsidRDefault="00D379A3" w:rsidP="00D379A3">
      <w:pPr>
        <w:spacing w:after="285" w:line="240" w:lineRule="auto"/>
        <w:jc w:val="both"/>
        <w:rPr>
          <w:rFonts w:eastAsia="Times New Roman" w:cs="Times New Roman"/>
          <w:sz w:val="18"/>
          <w:szCs w:val="18"/>
          <w:lang w:eastAsia="es-CO"/>
        </w:rPr>
      </w:pPr>
      <w:r w:rsidRPr="00D379A3">
        <w:rPr>
          <w:rFonts w:eastAsia="Times New Roman" w:cs="Times New Roman"/>
          <w:sz w:val="18"/>
          <w:szCs w:val="18"/>
          <w:lang w:eastAsia="es-CO"/>
        </w:rPr>
        <w:t> </w:t>
      </w:r>
    </w:p>
    <w:p w:rsidR="00961BFA" w:rsidRPr="00D379A3" w:rsidRDefault="00961BFA">
      <w:pPr>
        <w:rPr>
          <w:rFonts w:cs="Times New Roman"/>
        </w:rPr>
      </w:pPr>
    </w:p>
    <w:sectPr w:rsidR="00961BFA" w:rsidRPr="00D379A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A3"/>
    <w:rsid w:val="0029351E"/>
    <w:rsid w:val="00961BFA"/>
    <w:rsid w:val="00B94BED"/>
    <w:rsid w:val="00D379A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C761-2396-40C7-BFCE-BAA0EE04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01"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2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88" TargetMode="External"/><Relationship Id="rId11" Type="http://schemas.openxmlformats.org/officeDocument/2006/relationships/fontTable" Target="fontTable.xml"/><Relationship Id="rId5" Type="http://schemas.openxmlformats.org/officeDocument/2006/relationships/hyperlink" Target="http://www.ceta.org.co/html/vista_de_un_articulo.asp?Norma=87" TargetMode="External"/><Relationship Id="rId10" Type="http://schemas.openxmlformats.org/officeDocument/2006/relationships/hyperlink" Target="http://www.ceta.org.co/html/vista_de_un_articulo.asp?Norma=88" TargetMode="External"/><Relationship Id="rId4" Type="http://schemas.openxmlformats.org/officeDocument/2006/relationships/hyperlink" Target="mailto:luissarabias@hotmail.com" TargetMode="External"/><Relationship Id="rId9" Type="http://schemas.openxmlformats.org/officeDocument/2006/relationships/hyperlink" Target="http://www.ceta.org.co/html/vista_de_un_articulo.asp?Norma=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2016-04-28T17:27:00Z</dcterms:created>
  <dcterms:modified xsi:type="dcterms:W3CDTF">2016-04-28T17:32:00Z</dcterms:modified>
</cp:coreProperties>
</file>